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F6A" w:rsidRPr="00D120B9" w:rsidTr="00760F6A">
        <w:trPr>
          <w:trHeight w:val="424"/>
        </w:trPr>
        <w:tc>
          <w:tcPr>
            <w:tcW w:w="924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760F6A" w:rsidRPr="00D120B9" w:rsidRDefault="00137078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Partnership of Springfield and The Meadows </w:t>
            </w:r>
            <w:r w:rsidR="00760F6A" w:rsidRPr="00D120B9">
              <w:rPr>
                <w:rFonts w:cstheme="minorHAnsi"/>
                <w:b/>
                <w:bCs/>
                <w:sz w:val="23"/>
                <w:szCs w:val="23"/>
              </w:rPr>
              <w:t>School</w:t>
            </w:r>
          </w:p>
          <w:p w:rsidR="00760F6A" w:rsidRPr="00D120B9" w:rsidRDefault="00760F6A" w:rsidP="005519F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</w:tr>
    </w:tbl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4530"/>
        <w:gridCol w:w="1254"/>
        <w:gridCol w:w="973"/>
        <w:gridCol w:w="1173"/>
      </w:tblGrid>
      <w:tr w:rsidR="00760F6A" w:rsidRPr="00D120B9" w:rsidTr="00760F6A">
        <w:tc>
          <w:tcPr>
            <w:tcW w:w="1101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Job No.</w:t>
            </w:r>
          </w:p>
        </w:tc>
        <w:tc>
          <w:tcPr>
            <w:tcW w:w="4677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Post Title</w:t>
            </w:r>
          </w:p>
        </w:tc>
        <w:tc>
          <w:tcPr>
            <w:tcW w:w="127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9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JE Pts</w:t>
            </w:r>
          </w:p>
        </w:tc>
        <w:tc>
          <w:tcPr>
            <w:tcW w:w="119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Date</w:t>
            </w:r>
          </w:p>
        </w:tc>
      </w:tr>
      <w:tr w:rsidR="00760F6A" w:rsidRPr="00D120B9" w:rsidTr="00760F6A">
        <w:tc>
          <w:tcPr>
            <w:tcW w:w="1101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J1937</w:t>
            </w:r>
          </w:p>
        </w:tc>
        <w:tc>
          <w:tcPr>
            <w:tcW w:w="4677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7"/>
                <w:szCs w:val="27"/>
              </w:rPr>
              <w:t>Senior Family Support Worker</w:t>
            </w:r>
          </w:p>
        </w:tc>
        <w:tc>
          <w:tcPr>
            <w:tcW w:w="127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Grade 7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493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NJC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July 2009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120B9">
        <w:rPr>
          <w:rFonts w:cstheme="minorHAnsi"/>
          <w:b/>
          <w:bCs/>
          <w:sz w:val="23"/>
          <w:szCs w:val="23"/>
        </w:rPr>
        <w:t>Statement of Purpose</w:t>
      </w:r>
    </w:p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sz w:val="21"/>
          <w:szCs w:val="21"/>
        </w:rPr>
        <w:t xml:space="preserve">To support children and their families by both working directly with children and their families and also by co-ordinating the work of other professionals to </w:t>
      </w:r>
      <w:r w:rsidR="00300FCC">
        <w:rPr>
          <w:rFonts w:cstheme="minorHAnsi"/>
          <w:sz w:val="21"/>
          <w:szCs w:val="21"/>
        </w:rPr>
        <w:t xml:space="preserve">offer support. 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120B9">
        <w:rPr>
          <w:rFonts w:cstheme="minorHAnsi"/>
          <w:b/>
          <w:bCs/>
          <w:sz w:val="23"/>
          <w:szCs w:val="23"/>
        </w:rPr>
        <w:t>Support to Pupils</w:t>
      </w:r>
    </w:p>
    <w:p w:rsidR="00760F6A" w:rsidRPr="00D120B9" w:rsidRDefault="00760F6A" w:rsidP="0076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with children, their families and carers to promote stability enabling children to stay</w:t>
      </w:r>
      <w:r w:rsidR="00760F6A" w:rsidRPr="00D120B9">
        <w:rPr>
          <w:rFonts w:cstheme="minorHAnsi"/>
        </w:rPr>
        <w:t xml:space="preserve"> safe.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with children, their families and carers to maintain positive relationships.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safeguard and promote individual young people’s welfare and rights, providing good quality</w:t>
      </w:r>
      <w:r w:rsidR="00617CD4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services which ar</w:t>
      </w:r>
      <w:r w:rsidR="00760F6A" w:rsidRPr="00D120B9">
        <w:rPr>
          <w:rFonts w:cstheme="minorHAnsi"/>
        </w:rPr>
        <w:t>e free from oppressive features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undertake flexible and imaginative approaches in offering support to children, their families and carers.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work with children, their families and carers to promote good outcomes for children.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take case responsibility for cases where there is not a requirement that this is held by a social worker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undertake the completion of relevant assessments under</w:t>
      </w:r>
      <w:r w:rsidR="00D120B9">
        <w:rPr>
          <w:rFonts w:cstheme="minorHAnsi"/>
        </w:rPr>
        <w:t xml:space="preserve"> the specific direction of the Designated Safeguarding Lead</w:t>
      </w:r>
      <w:r w:rsidRPr="00D120B9">
        <w:rPr>
          <w:rFonts w:cstheme="minorHAnsi"/>
        </w:rPr>
        <w:t xml:space="preserve">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participate in Early help Meetings and Reviews and all other relevant meetings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 If required, on occasion give evidence in both civil an</w:t>
      </w:r>
      <w:r w:rsidR="00617CD4" w:rsidRPr="00D120B9">
        <w:rPr>
          <w:rFonts w:cstheme="minorHAnsi"/>
        </w:rPr>
        <w:t>d criminal Court proceedings.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take responsibility</w:t>
      </w:r>
      <w:r w:rsidR="00D120B9">
        <w:rPr>
          <w:rFonts w:cstheme="minorHAnsi"/>
        </w:rPr>
        <w:t xml:space="preserve"> for the accurate recording </w:t>
      </w:r>
      <w:r w:rsidRPr="00D120B9">
        <w:rPr>
          <w:rFonts w:cstheme="minorHAnsi"/>
        </w:rPr>
        <w:t xml:space="preserve">of </w:t>
      </w:r>
      <w:r w:rsidR="00D120B9">
        <w:rPr>
          <w:rFonts w:cstheme="minorHAnsi"/>
        </w:rPr>
        <w:t xml:space="preserve">all </w:t>
      </w:r>
      <w:r w:rsidRPr="00D120B9">
        <w:rPr>
          <w:rFonts w:cstheme="minorHAnsi"/>
        </w:rPr>
        <w:t>the work underta</w:t>
      </w:r>
      <w:r w:rsidR="00617CD4" w:rsidRPr="00D120B9">
        <w:rPr>
          <w:rFonts w:cstheme="minorHAnsi"/>
        </w:rPr>
        <w:t>ken on the electronic case file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participate in team meetings, supervision sessions </w:t>
      </w:r>
      <w:r w:rsidR="00617CD4" w:rsidRPr="00D120B9">
        <w:rPr>
          <w:rFonts w:cstheme="minorHAnsi"/>
        </w:rPr>
        <w:t>and training where appropriate.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as a member of a team and communica</w:t>
      </w:r>
      <w:r w:rsidR="00617CD4" w:rsidRPr="00D120B9">
        <w:rPr>
          <w:rFonts w:cstheme="minorHAnsi"/>
        </w:rPr>
        <w:t>te effectively with colleagues.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use IT </w:t>
      </w:r>
      <w:r w:rsidR="00617CD4" w:rsidRPr="00D120B9">
        <w:rPr>
          <w:rFonts w:cstheme="minorHAnsi"/>
        </w:rPr>
        <w:t>resources as required</w:t>
      </w:r>
    </w:p>
    <w:p w:rsidR="005519F1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undertake any other duties commensurate with the grading of the post although suitable adjustments will be made in line with the Disability Discrimination Act. 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b/>
          <w:bCs/>
          <w:sz w:val="23"/>
          <w:szCs w:val="23"/>
        </w:rPr>
        <w:t xml:space="preserve">Support to School </w:t>
      </w:r>
      <w:r w:rsidRPr="00D120B9">
        <w:rPr>
          <w:rFonts w:cstheme="minorHAnsi"/>
          <w:sz w:val="21"/>
          <w:szCs w:val="21"/>
        </w:rPr>
        <w:t>(this list is not exhaustive and should reflect the ethos of the school)</w:t>
      </w:r>
    </w:p>
    <w:p w:rsidR="00617CD4" w:rsidRPr="00D120B9" w:rsidRDefault="00617CD4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Promote and safeguard the welfare of children and young persons you are responsible for or</w:t>
      </w:r>
      <w:r w:rsidR="00D120B9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come into contact with.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Be aware of and comply with policies and procedures relating to child protection, health, safety</w:t>
      </w:r>
      <w:r w:rsidR="00D120B9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and security, confidentiality and data protection, reporting all concerns to an appropriate person.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Be aware of, support and ensure equal opportunities for all.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Contribute to the overall ethos/work/aims of the school.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lastRenderedPageBreak/>
        <w:t>Appreciate and support the role of other professionals.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Attend and participate in relevant meetings as required.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Participate in training and other learning activities and performance development as required.</w:t>
      </w:r>
    </w:p>
    <w:p w:rsidR="005519F1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Assist with pupil needs as appropriate during the working hours.</w:t>
      </w:r>
    </w:p>
    <w:p w:rsidR="00617CD4" w:rsidRPr="00D120B9" w:rsidRDefault="00617CD4" w:rsidP="00617CD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D120B9">
        <w:rPr>
          <w:rFonts w:cstheme="minorHAnsi"/>
          <w:b/>
          <w:bCs/>
          <w:i/>
          <w:iCs/>
          <w:sz w:val="21"/>
          <w:szCs w:val="21"/>
        </w:rPr>
        <w:t>Note 1:</w:t>
      </w:r>
    </w:p>
    <w:p w:rsidR="005519F1" w:rsidRPr="00D120B9" w:rsidRDefault="005519F1" w:rsidP="00617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D120B9">
        <w:rPr>
          <w:rFonts w:cstheme="minorHAnsi"/>
          <w:b/>
          <w:bCs/>
          <w:i/>
          <w:iCs/>
          <w:sz w:val="21"/>
          <w:szCs w:val="21"/>
        </w:rPr>
        <w:t>The content of this job description will be reviewed with the po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st holder on an annual basis in </w:t>
      </w:r>
      <w:r w:rsidRPr="00D120B9">
        <w:rPr>
          <w:rFonts w:cstheme="minorHAnsi"/>
          <w:b/>
          <w:bCs/>
          <w:i/>
          <w:iCs/>
          <w:sz w:val="21"/>
          <w:szCs w:val="21"/>
        </w:rPr>
        <w:t>line with the School’s performance and development review po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licy. Any significant change in </w:t>
      </w:r>
      <w:r w:rsidRPr="00D120B9">
        <w:rPr>
          <w:rFonts w:cstheme="minorHAnsi"/>
          <w:b/>
          <w:bCs/>
          <w:i/>
          <w:iCs/>
          <w:sz w:val="21"/>
          <w:szCs w:val="21"/>
        </w:rPr>
        <w:t>level of accountability that could result in a change to the g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rade must be discussed with the </w:t>
      </w:r>
      <w:r w:rsidRPr="00D120B9">
        <w:rPr>
          <w:rFonts w:cstheme="minorHAnsi"/>
          <w:b/>
          <w:bCs/>
          <w:i/>
          <w:iCs/>
          <w:sz w:val="21"/>
          <w:szCs w:val="21"/>
        </w:rPr>
        <w:t>post holder and the relevant trade union before submitting for re-evaluation.</w:t>
      </w: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617CD4" w:rsidRDefault="00617CD4" w:rsidP="005519F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617CD4" w:rsidRDefault="00617CD4" w:rsidP="005519F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519F1" w:rsidRPr="00D120B9" w:rsidRDefault="005519F1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lastRenderedPageBreak/>
        <w:t>Person Specification</w:t>
      </w:r>
    </w:p>
    <w:p w:rsidR="00BD3589" w:rsidRPr="00D120B9" w:rsidRDefault="00BD3589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t>Senior Family Support Worker</w:t>
      </w:r>
    </w:p>
    <w:p w:rsidR="00BD3589" w:rsidRPr="00D120B9" w:rsidRDefault="00BD3589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t>Level 3</w:t>
      </w:r>
    </w:p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BD3589" w:rsidRPr="00D120B9" w:rsidTr="00BD3589">
        <w:tc>
          <w:tcPr>
            <w:tcW w:w="7338" w:type="dxa"/>
          </w:tcPr>
          <w:p w:rsidR="00BD3589" w:rsidRPr="00D120B9" w:rsidRDefault="00BD3589" w:rsidP="00D12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Essential Criteria</w:t>
            </w:r>
          </w:p>
        </w:tc>
        <w:tc>
          <w:tcPr>
            <w:tcW w:w="1904" w:type="dxa"/>
          </w:tcPr>
          <w:p w:rsidR="00BD3589" w:rsidRPr="00D120B9" w:rsidRDefault="00BD3589" w:rsidP="00D12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Measured By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Experience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 xml:space="preserve">2 </w:t>
            </w:r>
            <w:proofErr w:type="spellStart"/>
            <w:proofErr w:type="gramStart"/>
            <w:r w:rsidRPr="00D120B9">
              <w:rPr>
                <w:rFonts w:cstheme="minorHAnsi"/>
                <w:sz w:val="21"/>
                <w:szCs w:val="21"/>
              </w:rPr>
              <w:t>years</w:t>
            </w:r>
            <w:proofErr w:type="gramEnd"/>
            <w:r w:rsidRPr="00D120B9">
              <w:rPr>
                <w:rFonts w:cstheme="minorHAnsi"/>
                <w:sz w:val="21"/>
                <w:szCs w:val="21"/>
              </w:rPr>
              <w:t xml:space="preserve"> experience</w:t>
            </w:r>
            <w:proofErr w:type="spellEnd"/>
            <w:r w:rsidRPr="00D120B9">
              <w:rPr>
                <w:rFonts w:cstheme="minorHAnsi"/>
                <w:sz w:val="21"/>
                <w:szCs w:val="21"/>
              </w:rPr>
              <w:t xml:space="preserve"> of doing direct work with children, their families and carers in a statutory (e.g. education, health or social care) or voluntary agency which provides services to vulnerable children and their families.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Qualifications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Minimum standard of NVQ 3 in respect of working with children and their families or equivalent.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Good IT skills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Knowledge / Skills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effectively communicate with children, their families and carers and their families.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maintain positive relationships with service users and other professionals.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effect change in difficult circumstances.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as part of a team.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undertake assessments.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effectively in conflict situations.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write accurate records and reports.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manage time effectively.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learn from experience and training changing own practice where relevant.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within a complex legislative framework.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creatively to resolve difficulties.</w:t>
            </w:r>
          </w:p>
          <w:p w:rsidR="00BD3589" w:rsidRPr="00D120B9" w:rsidRDefault="00BD3589" w:rsidP="00D120B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Behavioural Attributes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Builds personal relationships with stakeholders, through regular contact and consultation.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Coaches and empowers team members to take responsibility for ensuring customer care.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 xml:space="preserve">Understands the </w:t>
            </w:r>
            <w:proofErr w:type="gramStart"/>
            <w:r w:rsidRPr="00D120B9">
              <w:rPr>
                <w:rFonts w:cstheme="minorHAnsi"/>
                <w:sz w:val="21"/>
                <w:szCs w:val="21"/>
              </w:rPr>
              <w:t>schools</w:t>
            </w:r>
            <w:proofErr w:type="gramEnd"/>
            <w:r w:rsidRPr="00D120B9">
              <w:rPr>
                <w:rFonts w:cstheme="minorHAnsi"/>
                <w:sz w:val="21"/>
                <w:szCs w:val="21"/>
              </w:rPr>
              <w:t xml:space="preserve"> development plan and how it relates to team and individual objectives.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Accepts, supports and quickly implements change.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Identifies and promotes best practice and encourage the sharing of ideas.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Proactively seek opportunitie</w:t>
            </w:r>
            <w:r w:rsidR="00D120B9">
              <w:rPr>
                <w:rFonts w:cstheme="minorHAnsi"/>
                <w:sz w:val="21"/>
                <w:szCs w:val="21"/>
              </w:rPr>
              <w:t xml:space="preserve">s to increase job knowledge and </w:t>
            </w:r>
            <w:r w:rsidRPr="00D120B9">
              <w:rPr>
                <w:rFonts w:cstheme="minorHAnsi"/>
                <w:sz w:val="21"/>
                <w:szCs w:val="21"/>
              </w:rPr>
              <w:t>understanding.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Values the diversity of individuals, adaptable approach to meet individual needs and effectively utilise the diversity of team members.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lastRenderedPageBreak/>
              <w:t>Works with others to resolve differences of opinion and resolve conflict.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Requires minimum supervision.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Takes responsibility for own and team actions.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Identifies and overcomes barriers and manage risks.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Takes quick and effective action.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Demonstrates focused implementation of role and responsibilities.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Builds strong team ethos where everyone feels valued.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Provides timely, sensitive and honest feedback on performance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Is accountable for own development and encourages the</w:t>
            </w:r>
            <w:r w:rsidR="00D120B9">
              <w:rPr>
                <w:rFonts w:cstheme="minorHAnsi"/>
                <w:sz w:val="21"/>
                <w:szCs w:val="21"/>
              </w:rPr>
              <w:t xml:space="preserve"> </w:t>
            </w:r>
            <w:r w:rsidRPr="00D120B9">
              <w:rPr>
                <w:rFonts w:cstheme="minorHAnsi"/>
                <w:sz w:val="21"/>
                <w:szCs w:val="21"/>
              </w:rPr>
              <w:t>ownership of development needs amongst team members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</w:tbl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sz w:val="21"/>
          <w:szCs w:val="21"/>
        </w:rPr>
        <w:t>AF - Application form I - Interview</w:t>
      </w:r>
    </w:p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Note 1: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In addition to the ability to perform the duties of the post, issues relating to safeguarding and</w:t>
      </w:r>
      <w:r w:rsidR="00BD3589" w:rsidRPr="00D120B9">
        <w:rPr>
          <w:rFonts w:cstheme="minorHAnsi"/>
          <w:bCs/>
          <w:i/>
          <w:iCs/>
          <w:sz w:val="21"/>
          <w:szCs w:val="21"/>
        </w:rPr>
        <w:t xml:space="preserve"> </w:t>
      </w:r>
      <w:r w:rsidRPr="00D120B9">
        <w:rPr>
          <w:rFonts w:cstheme="minorHAnsi"/>
          <w:bCs/>
          <w:i/>
          <w:iCs/>
          <w:sz w:val="21"/>
          <w:szCs w:val="21"/>
        </w:rPr>
        <w:t>promoting the welfare of children will need to be demonstrated these will include:</w:t>
      </w:r>
    </w:p>
    <w:p w:rsidR="00BD3589" w:rsidRPr="00D120B9" w:rsidRDefault="005519F1" w:rsidP="00551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Motivation to work with children and young people.</w:t>
      </w:r>
    </w:p>
    <w:p w:rsidR="00BD3589" w:rsidRPr="00D120B9" w:rsidRDefault="005519F1" w:rsidP="00551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Ability to form and maintain appropriate relationships and personal boundaries with</w:t>
      </w:r>
      <w:r w:rsidR="00D120B9">
        <w:rPr>
          <w:rFonts w:cstheme="minorHAnsi"/>
          <w:bCs/>
          <w:i/>
          <w:iCs/>
          <w:sz w:val="21"/>
          <w:szCs w:val="21"/>
        </w:rPr>
        <w:t xml:space="preserve"> </w:t>
      </w:r>
      <w:r w:rsidR="00BD3589" w:rsidRPr="00D120B9">
        <w:rPr>
          <w:rFonts w:cstheme="minorHAnsi"/>
          <w:bCs/>
          <w:i/>
          <w:iCs/>
          <w:sz w:val="21"/>
          <w:szCs w:val="21"/>
        </w:rPr>
        <w:t>children and young people</w:t>
      </w:r>
    </w:p>
    <w:p w:rsidR="00BD3589" w:rsidRPr="00D120B9" w:rsidRDefault="005519F1" w:rsidP="00551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Emotional resilience in working with challenging behaviours and</w:t>
      </w:r>
    </w:p>
    <w:p w:rsidR="005519F1" w:rsidRPr="00D120B9" w:rsidRDefault="005519F1" w:rsidP="00551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Attitudes to use of authority and maintaining discipline.</w:t>
      </w: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" w:hAnsi="Helvetica" w:cs="Helvetica"/>
          <w:sz w:val="21"/>
          <w:szCs w:val="21"/>
        </w:rPr>
      </w:pPr>
    </w:p>
    <w:p w:rsidR="005519F1" w:rsidRDefault="005519F1" w:rsidP="005519F1"/>
    <w:sectPr w:rsidR="005519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97" w:rsidRDefault="00D71997" w:rsidP="00760F6A">
      <w:pPr>
        <w:spacing w:after="0" w:line="240" w:lineRule="auto"/>
      </w:pPr>
      <w:r>
        <w:separator/>
      </w:r>
    </w:p>
  </w:endnote>
  <w:endnote w:type="continuationSeparator" w:id="0">
    <w:p w:rsidR="00D71997" w:rsidRDefault="00D71997" w:rsidP="0076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6A" w:rsidRDefault="00760F6A" w:rsidP="00760F6A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10/07/2009 Page 1 of 4 PROFILE - Senior Family Support Worker.doc</w:t>
    </w:r>
  </w:p>
  <w:p w:rsidR="00760F6A" w:rsidRDefault="00760F6A">
    <w:pPr>
      <w:pStyle w:val="Footer"/>
    </w:pPr>
  </w:p>
  <w:p w:rsidR="00760F6A" w:rsidRDefault="0076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97" w:rsidRDefault="00D71997" w:rsidP="00760F6A">
      <w:pPr>
        <w:spacing w:after="0" w:line="240" w:lineRule="auto"/>
      </w:pPr>
      <w:r>
        <w:separator/>
      </w:r>
    </w:p>
  </w:footnote>
  <w:footnote w:type="continuationSeparator" w:id="0">
    <w:p w:rsidR="00D71997" w:rsidRDefault="00D71997" w:rsidP="0076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6A" w:rsidRDefault="00760F6A" w:rsidP="00760F6A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1"/>
        <w:szCs w:val="21"/>
      </w:rPr>
    </w:pPr>
  </w:p>
  <w:p w:rsidR="00760F6A" w:rsidRDefault="00760F6A" w:rsidP="00137078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sz w:val="21"/>
        <w:szCs w:val="21"/>
      </w:rPr>
    </w:pPr>
  </w:p>
  <w:p w:rsidR="00760F6A" w:rsidRDefault="00760F6A">
    <w:pPr>
      <w:pStyle w:val="Header"/>
    </w:pPr>
  </w:p>
  <w:p w:rsidR="00760F6A" w:rsidRDefault="0076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F42"/>
    <w:multiLevelType w:val="hybridMultilevel"/>
    <w:tmpl w:val="7162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812"/>
    <w:multiLevelType w:val="hybridMultilevel"/>
    <w:tmpl w:val="9908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67D"/>
    <w:multiLevelType w:val="hybridMultilevel"/>
    <w:tmpl w:val="4E40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A5A"/>
    <w:multiLevelType w:val="hybridMultilevel"/>
    <w:tmpl w:val="6C0A5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CA8"/>
    <w:multiLevelType w:val="hybridMultilevel"/>
    <w:tmpl w:val="6564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CA6"/>
    <w:multiLevelType w:val="hybridMultilevel"/>
    <w:tmpl w:val="BF2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4DF4"/>
    <w:multiLevelType w:val="hybridMultilevel"/>
    <w:tmpl w:val="A390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7912"/>
    <w:multiLevelType w:val="hybridMultilevel"/>
    <w:tmpl w:val="147C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D5E"/>
    <w:multiLevelType w:val="hybridMultilevel"/>
    <w:tmpl w:val="E5FA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1"/>
    <w:rsid w:val="00094720"/>
    <w:rsid w:val="00137078"/>
    <w:rsid w:val="00300FCC"/>
    <w:rsid w:val="003D7924"/>
    <w:rsid w:val="005519F1"/>
    <w:rsid w:val="00617CD4"/>
    <w:rsid w:val="00760F6A"/>
    <w:rsid w:val="007713AD"/>
    <w:rsid w:val="00BD3589"/>
    <w:rsid w:val="00D120B9"/>
    <w:rsid w:val="00D65E9D"/>
    <w:rsid w:val="00D71997"/>
    <w:rsid w:val="00D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34ED1-5298-48ED-A073-D49CB81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3AD"/>
    <w:pPr>
      <w:ind w:left="720"/>
      <w:contextualSpacing/>
    </w:pPr>
  </w:style>
  <w:style w:type="table" w:styleId="TableGrid">
    <w:name w:val="Table Grid"/>
    <w:basedOn w:val="TableNormal"/>
    <w:uiPriority w:val="59"/>
    <w:rsid w:val="005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6A"/>
  </w:style>
  <w:style w:type="paragraph" w:styleId="Footer">
    <w:name w:val="footer"/>
    <w:basedOn w:val="Normal"/>
    <w:link w:val="FooterChar"/>
    <w:uiPriority w:val="99"/>
    <w:unhideWhenUsed/>
    <w:rsid w:val="0076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6A"/>
  </w:style>
  <w:style w:type="paragraph" w:styleId="BalloonText">
    <w:name w:val="Balloon Text"/>
    <w:basedOn w:val="Normal"/>
    <w:link w:val="BalloonTextChar"/>
    <w:uiPriority w:val="99"/>
    <w:semiHidden/>
    <w:unhideWhenUsed/>
    <w:rsid w:val="007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Rubanski</dc:creator>
  <cp:lastModifiedBy>Louise Smith</cp:lastModifiedBy>
  <cp:revision>2</cp:revision>
  <dcterms:created xsi:type="dcterms:W3CDTF">2022-07-14T10:39:00Z</dcterms:created>
  <dcterms:modified xsi:type="dcterms:W3CDTF">2022-07-14T10:39:00Z</dcterms:modified>
</cp:coreProperties>
</file>